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F32" w:rsidRPr="006D472A" w:rsidRDefault="00B01CB7" w:rsidP="00AA31C9">
      <w:pPr>
        <w:jc w:val="center"/>
        <w:rPr>
          <w:b/>
          <w:sz w:val="36"/>
          <w:szCs w:val="36"/>
        </w:rPr>
      </w:pPr>
      <w:r w:rsidRPr="006D472A">
        <w:rPr>
          <w:b/>
          <w:sz w:val="36"/>
          <w:szCs w:val="36"/>
        </w:rPr>
        <w:t>Application Note: P</w:t>
      </w:r>
      <w:r w:rsidR="00AA31C9">
        <w:rPr>
          <w:b/>
          <w:sz w:val="36"/>
          <w:szCs w:val="36"/>
        </w:rPr>
        <w:t xml:space="preserve">AMS and </w:t>
      </w:r>
      <w:proofErr w:type="spellStart"/>
      <w:r w:rsidR="00AA31C9">
        <w:rPr>
          <w:b/>
          <w:sz w:val="36"/>
          <w:szCs w:val="36"/>
        </w:rPr>
        <w:t>AirVision</w:t>
      </w:r>
      <w:proofErr w:type="spellEnd"/>
      <w:r w:rsidR="00AA31C9">
        <w:rPr>
          <w:b/>
          <w:sz w:val="36"/>
          <w:szCs w:val="36"/>
        </w:rPr>
        <w:t xml:space="preserve"> – April, 2018</w:t>
      </w:r>
    </w:p>
    <w:p w:rsidR="00B01CB7" w:rsidRDefault="00B01CB7" w:rsidP="00B01CB7"/>
    <w:p w:rsidR="00B01CB7" w:rsidRPr="00B01CB7" w:rsidRDefault="00B01CB7" w:rsidP="00B01CB7">
      <w:pPr>
        <w:rPr>
          <w:u w:val="single"/>
        </w:rPr>
      </w:pPr>
      <w:r>
        <w:rPr>
          <w:u w:val="single"/>
        </w:rPr>
        <w:t>Introduction</w:t>
      </w:r>
    </w:p>
    <w:p w:rsidR="00B01CB7" w:rsidRDefault="00B01CB7" w:rsidP="00B01CB7">
      <w:proofErr w:type="spellStart"/>
      <w:proofErr w:type="gramStart"/>
      <w:r>
        <w:t>Agilaire</w:t>
      </w:r>
      <w:proofErr w:type="spellEnd"/>
      <w:r>
        <w:t xml:space="preserve"> been</w:t>
      </w:r>
      <w:proofErr w:type="gramEnd"/>
      <w:r>
        <w:t xml:space="preserve"> working with EPA and several agencies that have already received PAMS monitors to ensure compatibility with the major brands likely to be used. We have had real-time drivers for the </w:t>
      </w:r>
      <w:proofErr w:type="spellStart"/>
      <w:r>
        <w:t>Synspec</w:t>
      </w:r>
      <w:proofErr w:type="spellEnd"/>
      <w:r>
        <w:t xml:space="preserve"> and CAS/</w:t>
      </w:r>
      <w:proofErr w:type="spellStart"/>
      <w:r>
        <w:t>Chromatatec</w:t>
      </w:r>
      <w:proofErr w:type="spellEnd"/>
      <w:r>
        <w:t xml:space="preserve"> unit for several years now, and we have worked out data transfer methods for files from the </w:t>
      </w:r>
      <w:proofErr w:type="spellStart"/>
      <w:r>
        <w:t>Markes</w:t>
      </w:r>
      <w:proofErr w:type="spellEnd"/>
      <w:r>
        <w:t>/Agilent unit, using our File Import Tool.   Chapter 1 describes setting up automated file transfers into the File Import Tool.   We are currently working with EPA/AQS to more clearly define AQS reporting methods for blanks and QA activities.</w:t>
      </w:r>
    </w:p>
    <w:p w:rsidR="00B01CB7" w:rsidRDefault="00B01CB7" w:rsidP="00B01CB7"/>
    <w:p w:rsidR="00B01CB7" w:rsidRDefault="00B01CB7" w:rsidP="00B01CB7">
      <w:r>
        <w:t xml:space="preserve">What is equally important, of course, is the process for data validation.  Some of our users have expressed interest in using </w:t>
      </w:r>
      <w:proofErr w:type="spellStart"/>
      <w:r>
        <w:t>AirVision</w:t>
      </w:r>
      <w:proofErr w:type="spellEnd"/>
      <w:r>
        <w:t xml:space="preserve"> in lieu of DART for primary data validation.   Our Automatic Data Validation Processor can already be used for a number of the kind of 'sanity checks' offered by DART (e.g., Abundant species</w:t>
      </w:r>
      <w:proofErr w:type="gramStart"/>
      <w:r>
        <w:t>,  Benzene</w:t>
      </w:r>
      <w:proofErr w:type="gramEnd"/>
      <w:r>
        <w:t xml:space="preserve"> &gt; Toluene, Formaldehyde &lt; background, Isoprene increasing after 8pm, </w:t>
      </w:r>
      <w:proofErr w:type="spellStart"/>
      <w:r>
        <w:t>etc</w:t>
      </w:r>
      <w:proofErr w:type="spellEnd"/>
      <w:r>
        <w:t>), and can automatically apply null and qualifier codes in real-time.      Chapter 2 of this application note gives examples of using ADVP to set up these kinds of rules.</w:t>
      </w:r>
      <w:r w:rsidR="00830A96">
        <w:t xml:space="preserve">    As new understanding of </w:t>
      </w:r>
      <w:proofErr w:type="spellStart"/>
      <w:r w:rsidR="00830A96">
        <w:t>analytes</w:t>
      </w:r>
      <w:proofErr w:type="spellEnd"/>
      <w:r w:rsidR="00830A96">
        <w:t xml:space="preserve"> emerges, new ADVP rules can be added immediately to reflect new checks.</w:t>
      </w:r>
    </w:p>
    <w:p w:rsidR="00B01CB7" w:rsidRDefault="00B01CB7" w:rsidP="00B01CB7"/>
    <w:p w:rsidR="00B01CB7" w:rsidRDefault="00B01CB7" w:rsidP="00B01CB7">
      <w:r>
        <w:t xml:space="preserve">Of course, the Average Data Editor can be used, like DART, to create diurnal charts and scatter plots of parameters that elute closely (e.g., xylene isomers) for manual screening and coding.   And </w:t>
      </w:r>
      <w:proofErr w:type="spellStart"/>
      <w:r>
        <w:t>AirVision</w:t>
      </w:r>
      <w:proofErr w:type="spellEnd"/>
      <w:r>
        <w:t xml:space="preserve"> gives you the opportunity to use ADVP and chart comparisons with other criteria pollutants (ozone, </w:t>
      </w:r>
      <w:proofErr w:type="spellStart"/>
      <w:r>
        <w:t>NOx</w:t>
      </w:r>
      <w:proofErr w:type="spellEnd"/>
      <w:r>
        <w:t xml:space="preserve">) or met data.    Chapter 3 gives examples of using the Average Data </w:t>
      </w:r>
      <w:r w:rsidR="00830A96">
        <w:t>Editor</w:t>
      </w:r>
      <w:r>
        <w:t xml:space="preserve"> for this kind of screening.</w:t>
      </w:r>
    </w:p>
    <w:p w:rsidR="00B01CB7" w:rsidRDefault="00B01CB7" w:rsidP="00B01CB7"/>
    <w:p w:rsidR="00B01CB7" w:rsidRDefault="00B01CB7" w:rsidP="00B01CB7">
      <w:r>
        <w:t>In addition, users have suggested that we offer some comparison lines in the Average Data Editor's single parameter mode to show lines for historical averages and 95th percentile values to help find outliers, so we will be implementing that as well.</w:t>
      </w:r>
    </w:p>
    <w:p w:rsidR="00B01CB7" w:rsidRDefault="00B01CB7" w:rsidP="00B01CB7"/>
    <w:p w:rsidR="00B01CB7" w:rsidRDefault="00B01CB7" w:rsidP="00B01CB7">
      <w:r>
        <w:t xml:space="preserve">And, of course, it will be important for users to be able to re-import corrected values from chromatograms, which can easily be done using the File Import Tool (again, re: Chapter 1).    </w:t>
      </w:r>
    </w:p>
    <w:p w:rsidR="00B01CB7" w:rsidRDefault="00B01CB7" w:rsidP="00B01CB7"/>
    <w:p w:rsidR="00B01CB7" w:rsidRDefault="00B01CB7">
      <w:r>
        <w:br w:type="page"/>
      </w:r>
    </w:p>
    <w:p w:rsidR="00B01CB7" w:rsidRPr="00B01CB7" w:rsidRDefault="00B01CB7" w:rsidP="00B01CB7">
      <w:pPr>
        <w:rPr>
          <w:u w:val="single"/>
        </w:rPr>
      </w:pPr>
      <w:r w:rsidRPr="00B01CB7">
        <w:rPr>
          <w:u w:val="single"/>
        </w:rPr>
        <w:lastRenderedPageBreak/>
        <w:t>Chapter 1: Automated File Import</w:t>
      </w:r>
    </w:p>
    <w:p w:rsidR="00424C39" w:rsidRDefault="0098542A">
      <w:r>
        <w:t xml:space="preserve">While </w:t>
      </w:r>
      <w:proofErr w:type="spellStart"/>
      <w:r>
        <w:t>AirVision’s</w:t>
      </w:r>
      <w:proofErr w:type="spellEnd"/>
      <w:r>
        <w:t xml:space="preserve"> Model 8872 can manage real-time interfaces with the </w:t>
      </w:r>
      <w:proofErr w:type="spellStart"/>
      <w:r>
        <w:t>Synspec</w:t>
      </w:r>
      <w:proofErr w:type="spellEnd"/>
      <w:r>
        <w:t xml:space="preserve"> and CAS/</w:t>
      </w:r>
      <w:proofErr w:type="spellStart"/>
      <w:r>
        <w:t>Chromatotec</w:t>
      </w:r>
      <w:proofErr w:type="spellEnd"/>
      <w:r>
        <w:t xml:space="preserve"> PAMS monitors, some instruments like the </w:t>
      </w:r>
      <w:proofErr w:type="spellStart"/>
      <w:r>
        <w:t>Markes</w:t>
      </w:r>
      <w:proofErr w:type="spellEnd"/>
      <w:r>
        <w:t xml:space="preserve">/Agilent and Thermo only have the capability of </w:t>
      </w:r>
      <w:r w:rsidR="00424C39">
        <w:t>generating data files at the end of each run.</w:t>
      </w:r>
    </w:p>
    <w:p w:rsidR="00424C39" w:rsidRDefault="00424C39">
      <w:r>
        <w:t xml:space="preserve">These files can be imported at the server (or a local 8872) using the Generic File Import </w:t>
      </w:r>
      <w:proofErr w:type="gramStart"/>
      <w:r>
        <w:t>Tool,</w:t>
      </w:r>
      <w:proofErr w:type="gramEnd"/>
      <w:r>
        <w:t xml:space="preserve"> and the process can be automated as follows:</w:t>
      </w:r>
    </w:p>
    <w:p w:rsidR="00424C39" w:rsidRPr="00424C39" w:rsidRDefault="00D61543" w:rsidP="00424C39">
      <w:pPr>
        <w:pStyle w:val="ListParagraph"/>
        <w:numPr>
          <w:ilvl w:val="0"/>
          <w:numId w:val="1"/>
        </w:numPr>
        <w:ind w:left="540"/>
        <w:rPr>
          <w:u w:val="single"/>
        </w:rPr>
      </w:pPr>
      <w:r>
        <w:t>Use</w:t>
      </w:r>
      <w:r w:rsidR="00424C39">
        <w:t xml:space="preserve"> some method to transfer files from the PAMs computer to the </w:t>
      </w:r>
      <w:proofErr w:type="spellStart"/>
      <w:r w:rsidR="00424C39">
        <w:t>AirVision</w:t>
      </w:r>
      <w:proofErr w:type="spellEnd"/>
      <w:r w:rsidR="00424C39">
        <w:t xml:space="preserve"> server.   This can be through a file sharing application like </w:t>
      </w:r>
      <w:proofErr w:type="spellStart"/>
      <w:r w:rsidR="00424C39">
        <w:t>Dropbox</w:t>
      </w:r>
      <w:proofErr w:type="spellEnd"/>
      <w:r w:rsidR="00424C39">
        <w:t xml:space="preserve">, </w:t>
      </w:r>
      <w:proofErr w:type="spellStart"/>
      <w:r w:rsidR="00424C39">
        <w:t>OneDrive</w:t>
      </w:r>
      <w:proofErr w:type="spellEnd"/>
      <w:r w:rsidR="00424C39">
        <w:t xml:space="preserve">, or via FTP, using Windows scripting tools to automatically perform the FTP function (file sharing apps are probably easier to set up).  It may be required to use a batch file to transfer the desired file (e.g., </w:t>
      </w:r>
      <w:proofErr w:type="spellStart"/>
      <w:r w:rsidR="00424C39">
        <w:t>IRReport</w:t>
      </w:r>
      <w:proofErr w:type="spellEnd"/>
      <w:r w:rsidR="00424C39">
        <w:t xml:space="preserve"> on the </w:t>
      </w:r>
      <w:proofErr w:type="spellStart"/>
      <w:r w:rsidR="00424C39">
        <w:t>Markes</w:t>
      </w:r>
      <w:proofErr w:type="spellEnd"/>
      <w:r w:rsidR="00424C39">
        <w:t xml:space="preserve">) to the </w:t>
      </w:r>
      <w:proofErr w:type="spellStart"/>
      <w:r w:rsidR="00424C39">
        <w:t>Dropbox</w:t>
      </w:r>
      <w:proofErr w:type="spellEnd"/>
      <w:r w:rsidR="00424C39">
        <w:t xml:space="preserve"> drive.</w:t>
      </w:r>
      <w:r w:rsidR="00011F5A">
        <w:t xml:space="preserve">   </w:t>
      </w:r>
      <w:r>
        <w:br/>
      </w:r>
      <w:r>
        <w:br/>
      </w:r>
      <w:r w:rsidR="00011F5A">
        <w:rPr>
          <w:i/>
        </w:rPr>
        <w:t xml:space="preserve">Note- </w:t>
      </w:r>
      <w:proofErr w:type="spellStart"/>
      <w:r w:rsidR="00011F5A">
        <w:rPr>
          <w:i/>
        </w:rPr>
        <w:t>Agilaire</w:t>
      </w:r>
      <w:proofErr w:type="spellEnd"/>
      <w:r w:rsidR="00011F5A">
        <w:rPr>
          <w:i/>
        </w:rPr>
        <w:t xml:space="preserve"> is exploring a way to </w:t>
      </w:r>
      <w:r>
        <w:rPr>
          <w:i/>
        </w:rPr>
        <w:t xml:space="preserve">load a “File Hiker” program onto the PAMS PCs to allow files to be polled from </w:t>
      </w:r>
      <w:proofErr w:type="spellStart"/>
      <w:r>
        <w:rPr>
          <w:i/>
        </w:rPr>
        <w:t>AirVision</w:t>
      </w:r>
      <w:proofErr w:type="spellEnd"/>
      <w:r>
        <w:rPr>
          <w:i/>
        </w:rPr>
        <w:t xml:space="preserve"> directly without using the above methods.   We expect to have this tool available in July 2018.</w:t>
      </w:r>
      <w:r w:rsidR="00424C39">
        <w:br/>
      </w:r>
    </w:p>
    <w:p w:rsidR="00424C39" w:rsidRPr="00424C39" w:rsidRDefault="00424C39" w:rsidP="00424C39">
      <w:pPr>
        <w:pStyle w:val="ListParagraph"/>
        <w:numPr>
          <w:ilvl w:val="0"/>
          <w:numId w:val="1"/>
        </w:numPr>
        <w:ind w:left="540"/>
        <w:rPr>
          <w:u w:val="single"/>
        </w:rPr>
      </w:pPr>
      <w:r>
        <w:t>It may also be necessary to convert XLS files to CSV for the file import tool</w:t>
      </w:r>
      <w:r w:rsidR="00011F5A">
        <w:t xml:space="preserve"> (again, </w:t>
      </w:r>
      <w:proofErr w:type="spellStart"/>
      <w:r w:rsidR="00011F5A">
        <w:t>Agilaire</w:t>
      </w:r>
      <w:proofErr w:type="spellEnd"/>
      <w:r w:rsidR="00011F5A">
        <w:t xml:space="preserve"> is looking to improve its File Import Tool to </w:t>
      </w:r>
      <w:proofErr w:type="gramStart"/>
      <w:r w:rsidR="00011F5A">
        <w:t>automated</w:t>
      </w:r>
      <w:proofErr w:type="gramEnd"/>
      <w:r w:rsidR="00011F5A">
        <w:t xml:space="preserve"> this process)</w:t>
      </w:r>
      <w:r>
        <w:t xml:space="preserve">.  </w:t>
      </w:r>
      <w:r w:rsidR="00011F5A">
        <w:t xml:space="preserve"> A</w:t>
      </w:r>
      <w:r>
        <w:t xml:space="preserve"> batch file can be used to convert the file before transfer. An example</w:t>
      </w:r>
      <w:r w:rsidR="00B37F39">
        <w:t xml:space="preserve"> of a free converter</w:t>
      </w:r>
      <w:r>
        <w:t xml:space="preserve"> can be found here: </w:t>
      </w:r>
    </w:p>
    <w:p w:rsidR="00D61543" w:rsidRDefault="00AA31C9" w:rsidP="00424C39">
      <w:pPr>
        <w:pStyle w:val="ListParagraph"/>
        <w:ind w:left="1260"/>
      </w:pPr>
      <w:hyperlink r:id="rId7" w:history="1">
        <w:r w:rsidR="00D61543" w:rsidRPr="005713B4">
          <w:rPr>
            <w:rStyle w:val="Hyperlink"/>
          </w:rPr>
          <w:t>https://www.whitetown.com/xls2csv/expert/</w:t>
        </w:r>
      </w:hyperlink>
    </w:p>
    <w:p w:rsidR="00D61543" w:rsidRDefault="00D61543" w:rsidP="00424C39">
      <w:pPr>
        <w:pStyle w:val="ListParagraph"/>
        <w:ind w:left="1260"/>
      </w:pPr>
    </w:p>
    <w:p w:rsidR="00424C39" w:rsidRPr="00424C39" w:rsidRDefault="00D61543" w:rsidP="00D61543">
      <w:pPr>
        <w:pStyle w:val="ListParagraph"/>
        <w:rPr>
          <w:u w:val="single"/>
        </w:rPr>
      </w:pPr>
      <w:proofErr w:type="spellStart"/>
      <w:r>
        <w:rPr>
          <w:i/>
        </w:rPr>
        <w:t>Agilaire’s</w:t>
      </w:r>
      <w:proofErr w:type="spellEnd"/>
      <w:r>
        <w:rPr>
          <w:i/>
        </w:rPr>
        <w:t xml:space="preserve"> “File Hiker” mentioned above will include functions to convert XLS files.</w:t>
      </w:r>
      <w:r w:rsidR="00424C39">
        <w:br/>
      </w:r>
    </w:p>
    <w:p w:rsidR="00424C39" w:rsidRPr="00C65696" w:rsidRDefault="00424C39" w:rsidP="00424C39">
      <w:pPr>
        <w:pStyle w:val="ListParagraph"/>
        <w:numPr>
          <w:ilvl w:val="0"/>
          <w:numId w:val="1"/>
        </w:numPr>
        <w:ind w:left="540"/>
        <w:rPr>
          <w:u w:val="single"/>
        </w:rPr>
      </w:pPr>
      <w:r>
        <w:t xml:space="preserve">Once the file is scheduled to move to a known directory on the </w:t>
      </w:r>
      <w:proofErr w:type="spellStart"/>
      <w:r>
        <w:t>AirVision</w:t>
      </w:r>
      <w:proofErr w:type="spellEnd"/>
      <w:r>
        <w:t xml:space="preserve"> server, go to </w:t>
      </w:r>
      <w:r w:rsidR="00C65696">
        <w:t xml:space="preserve">Configuration-&gt;Server Configuration, and open the properties for the Import Service.   </w:t>
      </w:r>
      <w:r w:rsidR="00D61543">
        <w:t xml:space="preserve">You </w:t>
      </w:r>
      <w:r w:rsidR="00C65696">
        <w:t>can define a subdirectory, a file name pattern, the File Import Temp</w:t>
      </w:r>
      <w:r w:rsidR="00D61543">
        <w:t>late, and the associated site.  In this example</w:t>
      </w:r>
      <w:r w:rsidR="00C65696">
        <w:t>, we will look for files coming into c:\import\Brentwood_NCore directory, with a file name of run*.</w:t>
      </w:r>
      <w:proofErr w:type="spellStart"/>
      <w:r w:rsidR="00C65696">
        <w:t>csv</w:t>
      </w:r>
      <w:proofErr w:type="spellEnd"/>
      <w:r w:rsidR="00C65696">
        <w:t>, and using the “</w:t>
      </w:r>
      <w:proofErr w:type="spellStart"/>
      <w:r w:rsidR="00C65696">
        <w:t>ClarusGC</w:t>
      </w:r>
      <w:proofErr w:type="spellEnd"/>
      <w:r w:rsidR="00C65696">
        <w:t>” templat</w:t>
      </w:r>
      <w:r w:rsidR="00AA31C9">
        <w:t>e to import data for that site.</w:t>
      </w:r>
      <w:r w:rsidR="00C65696">
        <w:br/>
      </w:r>
      <w:r w:rsidR="00C65696">
        <w:rPr>
          <w:noProof/>
        </w:rPr>
        <w:drawing>
          <wp:inline distT="0" distB="0" distL="0" distR="0" wp14:anchorId="7E608C20" wp14:editId="58EC9EE9">
            <wp:extent cx="5158696" cy="231149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71528" cy="2317243"/>
                    </a:xfrm>
                    <a:prstGeom prst="rect">
                      <a:avLst/>
                    </a:prstGeom>
                  </pic:spPr>
                </pic:pic>
              </a:graphicData>
            </a:graphic>
          </wp:inline>
        </w:drawing>
      </w:r>
    </w:p>
    <w:p w:rsidR="00C65696" w:rsidRPr="00C65696" w:rsidRDefault="00C65696" w:rsidP="00424C39">
      <w:pPr>
        <w:pStyle w:val="ListParagraph"/>
        <w:numPr>
          <w:ilvl w:val="0"/>
          <w:numId w:val="1"/>
        </w:numPr>
        <w:ind w:left="540"/>
      </w:pPr>
      <w:r>
        <w:lastRenderedPageBreak/>
        <w:t xml:space="preserve">For the File Import Template, in the example of a </w:t>
      </w:r>
      <w:proofErr w:type="spellStart"/>
      <w:r>
        <w:t>Markes</w:t>
      </w:r>
      <w:proofErr w:type="spellEnd"/>
      <w:r>
        <w:t>/Agilent file that looks like this:</w:t>
      </w:r>
    </w:p>
    <w:tbl>
      <w:tblPr>
        <w:tblW w:w="10905" w:type="dxa"/>
        <w:tblInd w:w="93" w:type="dxa"/>
        <w:tblLook w:val="04A0" w:firstRow="1" w:lastRow="0" w:firstColumn="1" w:lastColumn="0" w:noHBand="0" w:noVBand="1"/>
      </w:tblPr>
      <w:tblGrid>
        <w:gridCol w:w="743"/>
        <w:gridCol w:w="843"/>
        <w:gridCol w:w="1039"/>
        <w:gridCol w:w="630"/>
        <w:gridCol w:w="1530"/>
        <w:gridCol w:w="900"/>
        <w:gridCol w:w="990"/>
        <w:gridCol w:w="1530"/>
        <w:gridCol w:w="2700"/>
      </w:tblGrid>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DAYNUM</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HOURNUM</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VENDORID</w:t>
            </w:r>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SITEID</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ANALYTE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MEASPPBV</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RETTIMEMIN</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DAYTIME</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b/>
                <w:bCs/>
                <w:color w:val="3366FF"/>
                <w:sz w:val="12"/>
                <w:szCs w:val="18"/>
              </w:rPr>
            </w:pPr>
            <w:r w:rsidRPr="00C65696">
              <w:rPr>
                <w:rFonts w:ascii="Arial" w:eastAsia="Times New Roman" w:hAnsi="Arial" w:cs="Arial"/>
                <w:b/>
                <w:bCs/>
                <w:color w:val="3366FF"/>
                <w:sz w:val="12"/>
                <w:szCs w:val="18"/>
              </w:rPr>
              <w:t>Comments</w:t>
            </w:r>
          </w:p>
        </w:tc>
      </w:tr>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Agilent/</w:t>
            </w:r>
            <w:proofErr w:type="spellStart"/>
            <w:r w:rsidRPr="00C65696">
              <w:rPr>
                <w:rFonts w:ascii="Arial" w:eastAsia="Times New Roman" w:hAnsi="Arial" w:cs="Arial"/>
                <w:color w:val="000000"/>
                <w:sz w:val="12"/>
                <w:szCs w:val="18"/>
              </w:rPr>
              <w:t>Markes</w:t>
            </w:r>
            <w:proofErr w:type="spellEnd"/>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90Day</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1,2,3-Trimethylbenzene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4.515</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34.992</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2/15/2018 5:</w:t>
            </w:r>
            <w:r>
              <w:rPr>
                <w:rFonts w:ascii="Arial" w:eastAsia="Times New Roman" w:hAnsi="Arial" w:cs="Arial"/>
                <w:color w:val="000000"/>
                <w:sz w:val="12"/>
                <w:szCs w:val="18"/>
              </w:rPr>
              <w:t>0</w:t>
            </w:r>
            <w:r w:rsidRPr="00C65696">
              <w:rPr>
                <w:rFonts w:ascii="Arial" w:eastAsia="Times New Roman" w:hAnsi="Arial" w:cs="Arial"/>
                <w:color w:val="000000"/>
                <w:sz w:val="12"/>
                <w:szCs w:val="18"/>
              </w:rPr>
              <w:t>4:00 PM</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color w:val="000000"/>
                <w:sz w:val="12"/>
                <w:szCs w:val="18"/>
              </w:rPr>
            </w:pPr>
            <w:r w:rsidRPr="00C65696">
              <w:rPr>
                <w:rFonts w:ascii="Arial" w:eastAsia="Times New Roman" w:hAnsi="Arial" w:cs="Arial"/>
                <w:color w:val="000000"/>
                <w:sz w:val="12"/>
                <w:szCs w:val="18"/>
              </w:rPr>
              <w:t> </w:t>
            </w:r>
          </w:p>
        </w:tc>
      </w:tr>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Agilent/</w:t>
            </w:r>
            <w:proofErr w:type="spellStart"/>
            <w:r w:rsidRPr="00C65696">
              <w:rPr>
                <w:rFonts w:ascii="Arial" w:eastAsia="Times New Roman" w:hAnsi="Arial" w:cs="Arial"/>
                <w:color w:val="000000"/>
                <w:sz w:val="12"/>
                <w:szCs w:val="18"/>
              </w:rPr>
              <w:t>Markes</w:t>
            </w:r>
            <w:proofErr w:type="spellEnd"/>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90Day</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1,2,4-Trimethylbenzene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7.123</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33.899</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Pr>
                <w:rFonts w:ascii="Arial" w:eastAsia="Times New Roman" w:hAnsi="Arial" w:cs="Arial"/>
                <w:color w:val="000000"/>
                <w:sz w:val="12"/>
                <w:szCs w:val="18"/>
              </w:rPr>
              <w:t>2/15/2018 5:0</w:t>
            </w:r>
            <w:r w:rsidRPr="00C65696">
              <w:rPr>
                <w:rFonts w:ascii="Arial" w:eastAsia="Times New Roman" w:hAnsi="Arial" w:cs="Arial"/>
                <w:color w:val="000000"/>
                <w:sz w:val="12"/>
                <w:szCs w:val="18"/>
              </w:rPr>
              <w:t>4:00 PM</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color w:val="000000"/>
                <w:sz w:val="12"/>
                <w:szCs w:val="18"/>
              </w:rPr>
            </w:pPr>
            <w:r w:rsidRPr="00C65696">
              <w:rPr>
                <w:rFonts w:ascii="Arial" w:eastAsia="Times New Roman" w:hAnsi="Arial" w:cs="Arial"/>
                <w:color w:val="000000"/>
                <w:sz w:val="12"/>
                <w:szCs w:val="18"/>
              </w:rPr>
              <w:t> </w:t>
            </w:r>
          </w:p>
        </w:tc>
      </w:tr>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Agilent/</w:t>
            </w:r>
            <w:proofErr w:type="spellStart"/>
            <w:r w:rsidRPr="00C65696">
              <w:rPr>
                <w:rFonts w:ascii="Arial" w:eastAsia="Times New Roman" w:hAnsi="Arial" w:cs="Arial"/>
                <w:color w:val="000000"/>
                <w:sz w:val="12"/>
                <w:szCs w:val="18"/>
              </w:rPr>
              <w:t>Markes</w:t>
            </w:r>
            <w:proofErr w:type="spellEnd"/>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90Day</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1,3 Butadiene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0.240</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29.898</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Pr>
                <w:rFonts w:ascii="Arial" w:eastAsia="Times New Roman" w:hAnsi="Arial" w:cs="Arial"/>
                <w:color w:val="000000"/>
                <w:sz w:val="12"/>
                <w:szCs w:val="18"/>
              </w:rPr>
              <w:t>2/15/2018 5:0</w:t>
            </w:r>
            <w:r w:rsidRPr="00C65696">
              <w:rPr>
                <w:rFonts w:ascii="Arial" w:eastAsia="Times New Roman" w:hAnsi="Arial" w:cs="Arial"/>
                <w:color w:val="000000"/>
                <w:sz w:val="12"/>
                <w:szCs w:val="18"/>
              </w:rPr>
              <w:t>4:00 PM</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color w:val="000000"/>
                <w:sz w:val="12"/>
                <w:szCs w:val="18"/>
              </w:rPr>
            </w:pPr>
            <w:r w:rsidRPr="00C65696">
              <w:rPr>
                <w:rFonts w:ascii="Arial" w:eastAsia="Times New Roman" w:hAnsi="Arial" w:cs="Arial"/>
                <w:color w:val="000000"/>
                <w:sz w:val="12"/>
                <w:szCs w:val="18"/>
              </w:rPr>
              <w:t> </w:t>
            </w:r>
          </w:p>
        </w:tc>
      </w:tr>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Agilent/</w:t>
            </w:r>
            <w:proofErr w:type="spellStart"/>
            <w:r w:rsidRPr="00C65696">
              <w:rPr>
                <w:rFonts w:ascii="Arial" w:eastAsia="Times New Roman" w:hAnsi="Arial" w:cs="Arial"/>
                <w:color w:val="000000"/>
                <w:sz w:val="12"/>
                <w:szCs w:val="18"/>
              </w:rPr>
              <w:t>Markes</w:t>
            </w:r>
            <w:proofErr w:type="spellEnd"/>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90Day</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1,3,5-Trimethylbenzene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3.058</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32.883</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Pr>
                <w:rFonts w:ascii="Arial" w:eastAsia="Times New Roman" w:hAnsi="Arial" w:cs="Arial"/>
                <w:color w:val="000000"/>
                <w:sz w:val="12"/>
                <w:szCs w:val="18"/>
              </w:rPr>
              <w:t>2/15/2018 5:0</w:t>
            </w:r>
            <w:r w:rsidRPr="00C65696">
              <w:rPr>
                <w:rFonts w:ascii="Arial" w:eastAsia="Times New Roman" w:hAnsi="Arial" w:cs="Arial"/>
                <w:color w:val="000000"/>
                <w:sz w:val="12"/>
                <w:szCs w:val="18"/>
              </w:rPr>
              <w:t>4:00 PM</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color w:val="000000"/>
                <w:sz w:val="12"/>
                <w:szCs w:val="18"/>
              </w:rPr>
            </w:pPr>
            <w:r w:rsidRPr="00C65696">
              <w:rPr>
                <w:rFonts w:ascii="Arial" w:eastAsia="Times New Roman" w:hAnsi="Arial" w:cs="Arial"/>
                <w:color w:val="000000"/>
                <w:sz w:val="12"/>
                <w:szCs w:val="18"/>
              </w:rPr>
              <w:t> </w:t>
            </w:r>
          </w:p>
        </w:tc>
      </w:tr>
      <w:tr w:rsidR="00C65696" w:rsidRPr="00C65696" w:rsidTr="00C65696">
        <w:trPr>
          <w:trHeight w:val="255"/>
        </w:trPr>
        <w:tc>
          <w:tcPr>
            <w:tcW w:w="7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843"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w:t>
            </w:r>
          </w:p>
        </w:tc>
        <w:tc>
          <w:tcPr>
            <w:tcW w:w="1039"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Agilent/</w:t>
            </w:r>
            <w:proofErr w:type="spellStart"/>
            <w:r w:rsidRPr="00C65696">
              <w:rPr>
                <w:rFonts w:ascii="Arial" w:eastAsia="Times New Roman" w:hAnsi="Arial" w:cs="Arial"/>
                <w:color w:val="000000"/>
                <w:sz w:val="12"/>
                <w:szCs w:val="18"/>
              </w:rPr>
              <w:t>Markes</w:t>
            </w:r>
            <w:proofErr w:type="spellEnd"/>
          </w:p>
        </w:tc>
        <w:tc>
          <w:tcPr>
            <w:tcW w:w="6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90Day</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sidRPr="00C65696">
              <w:rPr>
                <w:rFonts w:ascii="Arial" w:eastAsia="Times New Roman" w:hAnsi="Arial" w:cs="Arial"/>
                <w:color w:val="000000"/>
                <w:sz w:val="12"/>
                <w:szCs w:val="18"/>
              </w:rPr>
              <w:t>1-Butene</w:t>
            </w:r>
          </w:p>
        </w:tc>
        <w:tc>
          <w:tcPr>
            <w:tcW w:w="90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8.415</w:t>
            </w:r>
          </w:p>
        </w:tc>
        <w:tc>
          <w:tcPr>
            <w:tcW w:w="990" w:type="dxa"/>
            <w:tcBorders>
              <w:top w:val="nil"/>
              <w:left w:val="nil"/>
              <w:bottom w:val="nil"/>
              <w:right w:val="nil"/>
            </w:tcBorders>
            <w:shd w:val="clear" w:color="000000" w:fill="FFFFFF"/>
            <w:hideMark/>
          </w:tcPr>
          <w:p w:rsidR="00C65696" w:rsidRPr="00C65696" w:rsidRDefault="00C65696" w:rsidP="00C65696">
            <w:pPr>
              <w:spacing w:after="0" w:line="240" w:lineRule="auto"/>
              <w:jc w:val="right"/>
              <w:rPr>
                <w:rFonts w:ascii="Arial" w:eastAsia="Times New Roman" w:hAnsi="Arial" w:cs="Arial"/>
                <w:color w:val="000000"/>
                <w:sz w:val="12"/>
                <w:szCs w:val="18"/>
              </w:rPr>
            </w:pPr>
            <w:r w:rsidRPr="00C65696">
              <w:rPr>
                <w:rFonts w:ascii="Arial" w:eastAsia="Times New Roman" w:hAnsi="Arial" w:cs="Arial"/>
                <w:color w:val="000000"/>
                <w:sz w:val="12"/>
                <w:szCs w:val="18"/>
              </w:rPr>
              <w:t>25.462</w:t>
            </w:r>
          </w:p>
        </w:tc>
        <w:tc>
          <w:tcPr>
            <w:tcW w:w="1530" w:type="dxa"/>
            <w:tcBorders>
              <w:top w:val="nil"/>
              <w:left w:val="nil"/>
              <w:bottom w:val="nil"/>
              <w:right w:val="nil"/>
            </w:tcBorders>
            <w:shd w:val="clear" w:color="000000" w:fill="FFFFFF"/>
            <w:hideMark/>
          </w:tcPr>
          <w:p w:rsidR="00C65696" w:rsidRPr="00C65696" w:rsidRDefault="00C65696" w:rsidP="00C65696">
            <w:pPr>
              <w:spacing w:after="0" w:line="240" w:lineRule="auto"/>
              <w:jc w:val="center"/>
              <w:rPr>
                <w:rFonts w:ascii="Arial" w:eastAsia="Times New Roman" w:hAnsi="Arial" w:cs="Arial"/>
                <w:color w:val="000000"/>
                <w:sz w:val="12"/>
                <w:szCs w:val="18"/>
              </w:rPr>
            </w:pPr>
            <w:r>
              <w:rPr>
                <w:rFonts w:ascii="Arial" w:eastAsia="Times New Roman" w:hAnsi="Arial" w:cs="Arial"/>
                <w:color w:val="000000"/>
                <w:sz w:val="12"/>
                <w:szCs w:val="18"/>
              </w:rPr>
              <w:t>2/15/2018 5:0</w:t>
            </w:r>
            <w:r w:rsidRPr="00C65696">
              <w:rPr>
                <w:rFonts w:ascii="Arial" w:eastAsia="Times New Roman" w:hAnsi="Arial" w:cs="Arial"/>
                <w:color w:val="000000"/>
                <w:sz w:val="12"/>
                <w:szCs w:val="18"/>
              </w:rPr>
              <w:t>4:00 PM</w:t>
            </w:r>
          </w:p>
        </w:tc>
        <w:tc>
          <w:tcPr>
            <w:tcW w:w="2700" w:type="dxa"/>
            <w:tcBorders>
              <w:top w:val="nil"/>
              <w:left w:val="nil"/>
              <w:bottom w:val="nil"/>
              <w:right w:val="nil"/>
            </w:tcBorders>
            <w:shd w:val="clear" w:color="000000" w:fill="FFFFFF"/>
            <w:hideMark/>
          </w:tcPr>
          <w:p w:rsidR="00C65696" w:rsidRPr="00C65696" w:rsidRDefault="00C65696" w:rsidP="00C65696">
            <w:pPr>
              <w:spacing w:after="0" w:line="240" w:lineRule="auto"/>
              <w:rPr>
                <w:rFonts w:ascii="Arial" w:eastAsia="Times New Roman" w:hAnsi="Arial" w:cs="Arial"/>
                <w:color w:val="000000"/>
                <w:sz w:val="12"/>
                <w:szCs w:val="18"/>
              </w:rPr>
            </w:pPr>
            <w:r w:rsidRPr="00C65696">
              <w:rPr>
                <w:rFonts w:ascii="Arial" w:eastAsia="Times New Roman" w:hAnsi="Arial" w:cs="Arial"/>
                <w:color w:val="000000"/>
                <w:sz w:val="12"/>
                <w:szCs w:val="18"/>
              </w:rPr>
              <w:t> </w:t>
            </w:r>
          </w:p>
        </w:tc>
      </w:tr>
    </w:tbl>
    <w:p w:rsidR="00C65696" w:rsidRDefault="00C65696" w:rsidP="00C65696">
      <w:pPr>
        <w:ind w:left="540"/>
      </w:pPr>
    </w:p>
    <w:p w:rsidR="00C65696" w:rsidRDefault="00C65696" w:rsidP="00C65696">
      <w:pPr>
        <w:ind w:left="540"/>
      </w:pPr>
      <w:r>
        <w:t>The File Import Template might look like this:</w:t>
      </w:r>
    </w:p>
    <w:p w:rsidR="00C65696" w:rsidRDefault="0026564D" w:rsidP="00C65696">
      <w:pPr>
        <w:ind w:left="540"/>
      </w:pPr>
      <w:r>
        <w:rPr>
          <w:noProof/>
        </w:rPr>
        <w:drawing>
          <wp:inline distT="0" distB="0" distL="0" distR="0" wp14:anchorId="1D3BE6F5" wp14:editId="3E353DB1">
            <wp:extent cx="5943600" cy="4068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68445"/>
                    </a:xfrm>
                    <a:prstGeom prst="rect">
                      <a:avLst/>
                    </a:prstGeom>
                  </pic:spPr>
                </pic:pic>
              </a:graphicData>
            </a:graphic>
          </wp:inline>
        </w:drawing>
      </w:r>
    </w:p>
    <w:p w:rsidR="00C65696" w:rsidRDefault="00C65696" w:rsidP="00C65696">
      <w:pPr>
        <w:ind w:left="540"/>
      </w:pPr>
      <w:r>
        <w:t>In this case, we are using “</w:t>
      </w:r>
      <w:proofErr w:type="spellStart"/>
      <w:r>
        <w:t>ParmIdentifier</w:t>
      </w:r>
      <w:proofErr w:type="spellEnd"/>
      <w:r>
        <w:t xml:space="preserve">” </w:t>
      </w:r>
      <w:proofErr w:type="gramStart"/>
      <w:r>
        <w:t>meta</w:t>
      </w:r>
      <w:proofErr w:type="gramEnd"/>
      <w:r>
        <w:t xml:space="preserve"> tags in the Parameter Configuration to align the names in the GC file with the </w:t>
      </w:r>
      <w:proofErr w:type="spellStart"/>
      <w:r>
        <w:t>AirVision</w:t>
      </w:r>
      <w:proofErr w:type="spellEnd"/>
      <w:r>
        <w:t xml:space="preserve"> parameters.  Note also we are back stamping the time to align the ‘end of run’ time with the ‘start of run’ one hour ago (assuming the GC set up for 1-hour runs).</w:t>
      </w:r>
    </w:p>
    <w:p w:rsidR="00C65696" w:rsidRDefault="00C65696" w:rsidP="00C65696">
      <w:pPr>
        <w:ind w:left="540"/>
      </w:pPr>
      <w:r>
        <w:t>Note that the “Comments” field could be conf</w:t>
      </w:r>
      <w:r w:rsidR="00AA31C9">
        <w:t xml:space="preserve">igured in the </w:t>
      </w:r>
      <w:proofErr w:type="spellStart"/>
      <w:r w:rsidR="00AA31C9">
        <w:t>Markes</w:t>
      </w:r>
      <w:proofErr w:type="spellEnd"/>
      <w:r w:rsidR="00AA31C9">
        <w:t xml:space="preserve"> to denote the blank type </w:t>
      </w:r>
      <w:r>
        <w:t xml:space="preserve">and the Flag Mapping setup for File Import could be used to </w:t>
      </w:r>
      <w:r w:rsidR="0026564D">
        <w:t xml:space="preserve">add </w:t>
      </w:r>
      <w:r>
        <w:t>flag</w:t>
      </w:r>
      <w:r w:rsidR="0026564D">
        <w:t>s to the data, which can then be mapped to Null Codes in the Flags Editor or via the Automatic Data Validation Processor (ADVP).</w:t>
      </w:r>
    </w:p>
    <w:p w:rsidR="00C65696" w:rsidRDefault="00C65696" w:rsidP="00C65696">
      <w:pPr>
        <w:ind w:left="540"/>
      </w:pPr>
    </w:p>
    <w:p w:rsidR="00B01CB7" w:rsidRPr="00B01CB7" w:rsidRDefault="00B01CB7" w:rsidP="00B01CB7">
      <w:pPr>
        <w:rPr>
          <w:u w:val="single"/>
        </w:rPr>
      </w:pPr>
      <w:r w:rsidRPr="00B01CB7">
        <w:rPr>
          <w:u w:val="single"/>
        </w:rPr>
        <w:lastRenderedPageBreak/>
        <w:t xml:space="preserve">Chapter 2: ADVP </w:t>
      </w:r>
      <w:r w:rsidR="00AA31C9">
        <w:rPr>
          <w:u w:val="single"/>
        </w:rPr>
        <w:t xml:space="preserve">Real-Time </w:t>
      </w:r>
      <w:r w:rsidRPr="00B01CB7">
        <w:rPr>
          <w:u w:val="single"/>
        </w:rPr>
        <w:t xml:space="preserve">Data </w:t>
      </w:r>
      <w:proofErr w:type="gramStart"/>
      <w:r w:rsidRPr="00B01CB7">
        <w:rPr>
          <w:u w:val="single"/>
        </w:rPr>
        <w:t>Screening</w:t>
      </w:r>
      <w:proofErr w:type="gramEnd"/>
      <w:r w:rsidR="00E24F1B">
        <w:rPr>
          <w:u w:val="single"/>
        </w:rPr>
        <w:t xml:space="preserve"> </w:t>
      </w:r>
      <w:r w:rsidR="00AA31C9">
        <w:rPr>
          <w:u w:val="single"/>
        </w:rPr>
        <w:t xml:space="preserve">  </w:t>
      </w:r>
      <w:r w:rsidR="00E24F1B">
        <w:rPr>
          <w:u w:val="single"/>
        </w:rPr>
        <w:t>(if not using DART).</w:t>
      </w:r>
    </w:p>
    <w:p w:rsidR="0026564D" w:rsidRDefault="0026564D" w:rsidP="0026564D">
      <w:r>
        <w:t>The Automatic Data Validation Processor can be used to duplicate a lot of the data screening available in EPA’s DART tool, with the advantage of being able to perform this screening automatically and in real-time, right after values are polled or imported using the method in Chapter 1.</w:t>
      </w:r>
    </w:p>
    <w:p w:rsidR="002D4B00" w:rsidRPr="00E34E95" w:rsidRDefault="0026564D" w:rsidP="0026564D">
      <w:r>
        <w:t xml:space="preserve">Note that ADVP operates against parameter *templates*, so it is important to add Parameter Templates to match the </w:t>
      </w:r>
      <w:proofErr w:type="spellStart"/>
      <w:r>
        <w:t>Analytes</w:t>
      </w:r>
      <w:proofErr w:type="spellEnd"/>
      <w:r>
        <w:t xml:space="preserve"> from the GC.   If they do not already exist in your system, contact </w:t>
      </w:r>
      <w:hyperlink r:id="rId10" w:history="1">
        <w:r w:rsidRPr="00700A8E">
          <w:rPr>
            <w:rStyle w:val="Hyperlink"/>
          </w:rPr>
          <w:t>support@agilaire.com</w:t>
        </w:r>
      </w:hyperlink>
      <w:r>
        <w:t xml:space="preserve"> to get an insert script to add the Parameter Templates easily to your existing </w:t>
      </w:r>
      <w:proofErr w:type="spellStart"/>
      <w:r>
        <w:t>AirVision</w:t>
      </w:r>
      <w:proofErr w:type="spellEnd"/>
      <w:r>
        <w:t xml:space="preserve"> system.</w:t>
      </w:r>
      <w:r w:rsidR="00E34E95">
        <w:t xml:space="preserve">   </w:t>
      </w:r>
      <w:proofErr w:type="spellStart"/>
      <w:r w:rsidR="00E34E95" w:rsidRPr="00D61543">
        <w:rPr>
          <w:b/>
          <w:i/>
        </w:rPr>
        <w:t>Agilaire</w:t>
      </w:r>
      <w:proofErr w:type="spellEnd"/>
      <w:r w:rsidR="00E34E95" w:rsidRPr="00D61543">
        <w:rPr>
          <w:b/>
          <w:i/>
        </w:rPr>
        <w:t xml:space="preserve"> </w:t>
      </w:r>
      <w:r w:rsidR="00D61543" w:rsidRPr="00D61543">
        <w:rPr>
          <w:b/>
          <w:i/>
        </w:rPr>
        <w:t>will make available a</w:t>
      </w:r>
      <w:r w:rsidR="00E34E95" w:rsidRPr="00D61543">
        <w:rPr>
          <w:b/>
          <w:i/>
        </w:rPr>
        <w:t xml:space="preserve"> script that would auto-add a standard set of ADVP rules for PAMS users</w:t>
      </w:r>
      <w:r w:rsidR="00E90A29">
        <w:rPr>
          <w:b/>
          <w:i/>
        </w:rPr>
        <w:t>, and these rules can be edited or added to by users</w:t>
      </w:r>
      <w:r w:rsidR="00E34E95" w:rsidRPr="00D61543">
        <w:rPr>
          <w:b/>
          <w:i/>
        </w:rPr>
        <w:t>.</w:t>
      </w:r>
      <w:r w:rsidR="00E34E95">
        <w:rPr>
          <w:i/>
        </w:rPr>
        <w:t xml:space="preserve">    </w:t>
      </w:r>
      <w:r w:rsidR="00E34E95">
        <w:rPr>
          <w:i/>
        </w:rPr>
        <w:br/>
      </w:r>
      <w:r w:rsidR="00E34E95">
        <w:rPr>
          <w:i/>
        </w:rPr>
        <w:br/>
      </w:r>
      <w:r>
        <w:t>Examples of common rules and how they wo</w:t>
      </w:r>
      <w:r w:rsidR="00E34E95">
        <w:t>uld look in ADVP are as follows:</w:t>
      </w:r>
    </w:p>
    <w:p w:rsidR="001464F8" w:rsidRDefault="002D4B00" w:rsidP="0026564D">
      <w:pPr>
        <w:rPr>
          <w:i/>
        </w:rPr>
      </w:pPr>
      <w:r>
        <w:rPr>
          <w:i/>
        </w:rPr>
        <w:t xml:space="preserve">Abundant Species (e.g., Benzene, Propane, N-Butane, </w:t>
      </w:r>
      <w:proofErr w:type="spellStart"/>
      <w:r>
        <w:rPr>
          <w:i/>
        </w:rPr>
        <w:t>etc</w:t>
      </w:r>
      <w:proofErr w:type="spellEnd"/>
      <w:r>
        <w:rPr>
          <w:i/>
        </w:rPr>
        <w:t xml:space="preserve"> are not zero)</w:t>
      </w:r>
      <w:r>
        <w:rPr>
          <w:i/>
        </w:rPr>
        <w:br/>
      </w:r>
      <w:r>
        <w:rPr>
          <w:noProof/>
        </w:rPr>
        <w:drawing>
          <wp:inline distT="0" distB="0" distL="0" distR="0" wp14:anchorId="2166023D" wp14:editId="37E5FC7F">
            <wp:extent cx="5943600" cy="480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04410"/>
                    </a:xfrm>
                    <a:prstGeom prst="rect">
                      <a:avLst/>
                    </a:prstGeom>
                  </pic:spPr>
                </pic:pic>
              </a:graphicData>
            </a:graphic>
          </wp:inline>
        </w:drawing>
      </w:r>
    </w:p>
    <w:p w:rsidR="001464F8" w:rsidRDefault="001464F8" w:rsidP="0026564D">
      <w:r>
        <w:t xml:space="preserve">In this case, we are checking for any of the key </w:t>
      </w:r>
      <w:proofErr w:type="spellStart"/>
      <w:r>
        <w:t>analytes</w:t>
      </w:r>
      <w:proofErr w:type="spellEnd"/>
      <w:r>
        <w:t xml:space="preserve"> being zero, rather than ‘two or more’, so in this case, some manual review might be needed for the rare case of a single key </w:t>
      </w:r>
      <w:proofErr w:type="spellStart"/>
      <w:r>
        <w:t>analyte</w:t>
      </w:r>
      <w:proofErr w:type="spellEnd"/>
      <w:r>
        <w:t xml:space="preserve"> being zero.</w:t>
      </w:r>
    </w:p>
    <w:p w:rsidR="001464F8" w:rsidRDefault="001464F8" w:rsidP="0026564D">
      <w:pPr>
        <w:rPr>
          <w:i/>
        </w:rPr>
      </w:pPr>
      <w:r>
        <w:rPr>
          <w:i/>
        </w:rPr>
        <w:lastRenderedPageBreak/>
        <w:t>Sum of PAMS exceeds TNMOC:</w:t>
      </w:r>
    </w:p>
    <w:p w:rsidR="001464F8" w:rsidRDefault="001464F8" w:rsidP="0026564D">
      <w:r>
        <w:t xml:space="preserve">In this case, if the PAMS </w:t>
      </w:r>
      <w:proofErr w:type="gramStart"/>
      <w:r>
        <w:t>doesn’t</w:t>
      </w:r>
      <w:proofErr w:type="gramEnd"/>
      <w:r>
        <w:t xml:space="preserve"> provide a total, we can create a Central Math Channel that will give us a total, if needed.</w:t>
      </w:r>
    </w:p>
    <w:p w:rsidR="001464F8" w:rsidRDefault="001464F8" w:rsidP="0026564D">
      <w:pPr>
        <w:rPr>
          <w:u w:val="single"/>
        </w:rPr>
      </w:pPr>
      <w:r>
        <w:rPr>
          <w:noProof/>
        </w:rPr>
        <w:drawing>
          <wp:inline distT="0" distB="0" distL="0" distR="0" wp14:anchorId="414F2C3B" wp14:editId="39D2BD5E">
            <wp:extent cx="5943600" cy="4804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04410"/>
                    </a:xfrm>
                    <a:prstGeom prst="rect">
                      <a:avLst/>
                    </a:prstGeom>
                  </pic:spPr>
                </pic:pic>
              </a:graphicData>
            </a:graphic>
          </wp:inline>
        </w:drawing>
      </w:r>
    </w:p>
    <w:p w:rsidR="001464F8" w:rsidRDefault="001464F8" w:rsidP="0026564D">
      <w:r>
        <w:t xml:space="preserve">In this case, three rules should be set up, one to flag TNMOC, one to flag the PAMS total parameter, and the third to flag Unidentified with “DA”.   The “Copy Rule” function will make this easy once you set up the first one. </w:t>
      </w:r>
    </w:p>
    <w:p w:rsidR="001464F8" w:rsidRDefault="001464F8">
      <w:r>
        <w:br w:type="page"/>
      </w:r>
    </w:p>
    <w:p w:rsidR="001464F8" w:rsidRDefault="001464F8" w:rsidP="0026564D">
      <w:pPr>
        <w:rPr>
          <w:i/>
        </w:rPr>
      </w:pPr>
      <w:r>
        <w:rPr>
          <w:i/>
        </w:rPr>
        <w:lastRenderedPageBreak/>
        <w:t xml:space="preserve">Relationships: </w:t>
      </w:r>
      <w:proofErr w:type="spellStart"/>
      <w:r>
        <w:rPr>
          <w:i/>
        </w:rPr>
        <w:t>Benezene</w:t>
      </w:r>
      <w:proofErr w:type="gramStart"/>
      <w:r>
        <w:rPr>
          <w:i/>
        </w:rPr>
        <w:t>:Toluene</w:t>
      </w:r>
      <w:proofErr w:type="spellEnd"/>
      <w:proofErr w:type="gramEnd"/>
      <w:r>
        <w:rPr>
          <w:i/>
        </w:rPr>
        <w:t xml:space="preserve">, </w:t>
      </w:r>
      <w:proofErr w:type="spellStart"/>
      <w:r>
        <w:rPr>
          <w:i/>
        </w:rPr>
        <w:t>Ethelyne:Ethane</w:t>
      </w:r>
      <w:proofErr w:type="spellEnd"/>
      <w:r>
        <w:rPr>
          <w:i/>
        </w:rPr>
        <w:t xml:space="preserve">, </w:t>
      </w:r>
      <w:proofErr w:type="spellStart"/>
      <w:r>
        <w:rPr>
          <w:i/>
        </w:rPr>
        <w:t>Proplyene:Propane</w:t>
      </w:r>
      <w:proofErr w:type="spellEnd"/>
      <w:r>
        <w:rPr>
          <w:i/>
        </w:rPr>
        <w:t>, etc.</w:t>
      </w:r>
    </w:p>
    <w:p w:rsidR="001464F8" w:rsidRDefault="001464F8" w:rsidP="0026564D">
      <w:r>
        <w:t>These are all based on one parameter being over a threshold value, and yet over another parameter that doesn’t make sense.</w:t>
      </w:r>
    </w:p>
    <w:p w:rsidR="001464F8" w:rsidRDefault="001464F8" w:rsidP="0026564D">
      <w:pPr>
        <w:rPr>
          <w:u w:val="single"/>
        </w:rPr>
      </w:pPr>
      <w:r>
        <w:rPr>
          <w:noProof/>
        </w:rPr>
        <w:drawing>
          <wp:inline distT="0" distB="0" distL="0" distR="0" wp14:anchorId="732759D6" wp14:editId="09179F02">
            <wp:extent cx="5607503" cy="453273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0314" cy="4535004"/>
                    </a:xfrm>
                    <a:prstGeom prst="rect">
                      <a:avLst/>
                    </a:prstGeom>
                  </pic:spPr>
                </pic:pic>
              </a:graphicData>
            </a:graphic>
          </wp:inline>
        </w:drawing>
      </w:r>
      <w:r>
        <w:rPr>
          <w:u w:val="single"/>
        </w:rPr>
        <w:t xml:space="preserve"> </w:t>
      </w:r>
    </w:p>
    <w:p w:rsidR="001464F8" w:rsidRPr="001464F8" w:rsidRDefault="008A514B" w:rsidP="0026564D">
      <w:proofErr w:type="gramStart"/>
      <w:r>
        <w:t>Condition 2 belo</w:t>
      </w:r>
      <w:bookmarkStart w:id="0" w:name="_GoBack"/>
      <w:bookmarkEnd w:id="0"/>
      <w:r>
        <w:t>w.</w:t>
      </w:r>
      <w:proofErr w:type="gramEnd"/>
      <w:r>
        <w:t xml:space="preserve">  Again, note a copy is needed to flag both parameters with “DA” code.</w:t>
      </w:r>
    </w:p>
    <w:p w:rsidR="008A514B" w:rsidRDefault="001464F8" w:rsidP="0026564D">
      <w:pPr>
        <w:rPr>
          <w:u w:val="single"/>
        </w:rPr>
      </w:pPr>
      <w:r>
        <w:rPr>
          <w:noProof/>
          <w:u w:val="single"/>
        </w:rPr>
        <w:drawing>
          <wp:inline distT="0" distB="0" distL="0" distR="0">
            <wp:extent cx="5617624" cy="21936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696" cy="2193706"/>
                    </a:xfrm>
                    <a:prstGeom prst="rect">
                      <a:avLst/>
                    </a:prstGeom>
                    <a:noFill/>
                    <a:ln>
                      <a:noFill/>
                    </a:ln>
                  </pic:spPr>
                </pic:pic>
              </a:graphicData>
            </a:graphic>
          </wp:inline>
        </w:drawing>
      </w:r>
      <w:r w:rsidRPr="001464F8">
        <w:rPr>
          <w:u w:val="single"/>
        </w:rPr>
        <w:t xml:space="preserve"> </w:t>
      </w:r>
    </w:p>
    <w:p w:rsidR="008A514B" w:rsidRDefault="008A514B" w:rsidP="0026564D">
      <w:pPr>
        <w:rPr>
          <w:i/>
        </w:rPr>
      </w:pPr>
      <w:r>
        <w:rPr>
          <w:i/>
        </w:rPr>
        <w:lastRenderedPageBreak/>
        <w:t>Nighttime Isoprene</w:t>
      </w:r>
    </w:p>
    <w:p w:rsidR="008A514B" w:rsidRDefault="008A514B" w:rsidP="0026564D">
      <w:r>
        <w:t>This one is a bit unusual, as we need conditions to define ‘nighttime’, in this case, we use DART’s definition of 8pm to 3am, but in ADVP you can tweak these values:</w:t>
      </w:r>
    </w:p>
    <w:p w:rsidR="008A514B" w:rsidRDefault="008A514B" w:rsidP="0026564D">
      <w:r>
        <w:rPr>
          <w:noProof/>
        </w:rPr>
        <w:drawing>
          <wp:inline distT="0" distB="0" distL="0" distR="0" wp14:anchorId="7A507738" wp14:editId="586B93BE">
            <wp:extent cx="4958250" cy="3926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61818" cy="3929698"/>
                    </a:xfrm>
                    <a:prstGeom prst="rect">
                      <a:avLst/>
                    </a:prstGeom>
                  </pic:spPr>
                </pic:pic>
              </a:graphicData>
            </a:graphic>
          </wp:inline>
        </w:drawing>
      </w:r>
      <w:r>
        <w:rPr>
          <w:u w:val="single"/>
        </w:rPr>
        <w:t xml:space="preserve"> </w:t>
      </w:r>
      <w:r>
        <w:t>Increase &gt; 1%</w:t>
      </w:r>
    </w:p>
    <w:p w:rsidR="008A514B" w:rsidRDefault="008A514B" w:rsidP="0026564D">
      <w:r>
        <w:rPr>
          <w:noProof/>
        </w:rPr>
        <w:drawing>
          <wp:inline distT="0" distB="0" distL="0" distR="0">
            <wp:extent cx="4602343" cy="1447333"/>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1544" cy="1453371"/>
                    </a:xfrm>
                    <a:prstGeom prst="rect">
                      <a:avLst/>
                    </a:prstGeom>
                    <a:noFill/>
                    <a:ln>
                      <a:noFill/>
                    </a:ln>
                  </pic:spPr>
                </pic:pic>
              </a:graphicData>
            </a:graphic>
          </wp:inline>
        </w:drawing>
      </w:r>
      <w:proofErr w:type="gramStart"/>
      <w:r>
        <w:t>AND hour &gt;20 (or 19?)</w:t>
      </w:r>
      <w:proofErr w:type="gramEnd"/>
    </w:p>
    <w:p w:rsidR="008A514B" w:rsidRDefault="008A514B" w:rsidP="0026564D">
      <w:r>
        <w:rPr>
          <w:noProof/>
        </w:rPr>
        <w:drawing>
          <wp:inline distT="0" distB="0" distL="0" distR="0">
            <wp:extent cx="4628098" cy="145543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0722" cy="1456257"/>
                    </a:xfrm>
                    <a:prstGeom prst="rect">
                      <a:avLst/>
                    </a:prstGeom>
                    <a:noFill/>
                    <a:ln>
                      <a:noFill/>
                    </a:ln>
                  </pic:spPr>
                </pic:pic>
              </a:graphicData>
            </a:graphic>
          </wp:inline>
        </w:drawing>
      </w:r>
      <w:proofErr w:type="gramStart"/>
      <w:r>
        <w:t>OR hour &lt; 3 (or 4?)</w:t>
      </w:r>
      <w:proofErr w:type="gramEnd"/>
    </w:p>
    <w:p w:rsidR="00B01CB7" w:rsidRDefault="00B01CB7" w:rsidP="00B01CB7">
      <w:pPr>
        <w:rPr>
          <w:u w:val="single"/>
        </w:rPr>
      </w:pPr>
      <w:r w:rsidRPr="00B01CB7">
        <w:rPr>
          <w:u w:val="single"/>
        </w:rPr>
        <w:lastRenderedPageBreak/>
        <w:t>Chapter 3: Average Data Editor Screening</w:t>
      </w:r>
    </w:p>
    <w:p w:rsidR="00BC64BA" w:rsidRDefault="00BC64BA" w:rsidP="00B01CB7">
      <w:r>
        <w:t>The Average Data Editor can be used to review expected diurnal variations:</w:t>
      </w:r>
    </w:p>
    <w:p w:rsidR="00BC64BA" w:rsidRDefault="00DE1256" w:rsidP="00B01CB7">
      <w:r>
        <w:rPr>
          <w:noProof/>
        </w:rPr>
        <w:drawing>
          <wp:inline distT="0" distB="0" distL="0" distR="0">
            <wp:extent cx="4841271" cy="30362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987" cy="3034782"/>
                    </a:xfrm>
                    <a:prstGeom prst="rect">
                      <a:avLst/>
                    </a:prstGeom>
                    <a:noFill/>
                    <a:ln>
                      <a:noFill/>
                    </a:ln>
                  </pic:spPr>
                </pic:pic>
              </a:graphicData>
            </a:graphic>
          </wp:inline>
        </w:drawing>
      </w:r>
    </w:p>
    <w:p w:rsidR="00BC64BA" w:rsidRDefault="00BC64BA" w:rsidP="00B01CB7">
      <w:r>
        <w:t>As well as use the Scatter Plots to look for expected relationships:</w:t>
      </w:r>
    </w:p>
    <w:p w:rsidR="0063775A" w:rsidRDefault="0063775A" w:rsidP="00B01CB7">
      <w:r>
        <w:rPr>
          <w:noProof/>
        </w:rPr>
        <w:drawing>
          <wp:inline distT="0" distB="0" distL="0" distR="0">
            <wp:extent cx="4789691" cy="332662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796" cy="3325998"/>
                    </a:xfrm>
                    <a:prstGeom prst="rect">
                      <a:avLst/>
                    </a:prstGeom>
                    <a:noFill/>
                    <a:ln>
                      <a:noFill/>
                    </a:ln>
                  </pic:spPr>
                </pic:pic>
              </a:graphicData>
            </a:graphic>
          </wp:inline>
        </w:drawing>
      </w:r>
    </w:p>
    <w:p w:rsidR="00BC64BA" w:rsidRPr="00BC64BA" w:rsidRDefault="00BC64BA" w:rsidP="00B01CB7"/>
    <w:sectPr w:rsidR="00BC64BA" w:rsidRPr="00BC64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E76DD"/>
    <w:multiLevelType w:val="hybridMultilevel"/>
    <w:tmpl w:val="76A06C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CB7"/>
    <w:rsid w:val="00011F5A"/>
    <w:rsid w:val="001464F8"/>
    <w:rsid w:val="0026564D"/>
    <w:rsid w:val="002D4B00"/>
    <w:rsid w:val="00386F32"/>
    <w:rsid w:val="00424C39"/>
    <w:rsid w:val="0063775A"/>
    <w:rsid w:val="006D472A"/>
    <w:rsid w:val="00787A2E"/>
    <w:rsid w:val="00830A96"/>
    <w:rsid w:val="008A514B"/>
    <w:rsid w:val="0098542A"/>
    <w:rsid w:val="00AA31C9"/>
    <w:rsid w:val="00B01CB7"/>
    <w:rsid w:val="00B37F39"/>
    <w:rsid w:val="00BC64BA"/>
    <w:rsid w:val="00C65696"/>
    <w:rsid w:val="00D61543"/>
    <w:rsid w:val="00DE1256"/>
    <w:rsid w:val="00E24F1B"/>
    <w:rsid w:val="00E34E95"/>
    <w:rsid w:val="00E90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C39"/>
    <w:pPr>
      <w:ind w:left="720"/>
      <w:contextualSpacing/>
    </w:pPr>
  </w:style>
  <w:style w:type="paragraph" w:styleId="BalloonText">
    <w:name w:val="Balloon Text"/>
    <w:basedOn w:val="Normal"/>
    <w:link w:val="BalloonTextChar"/>
    <w:uiPriority w:val="99"/>
    <w:semiHidden/>
    <w:unhideWhenUsed/>
    <w:rsid w:val="00C65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696"/>
    <w:rPr>
      <w:rFonts w:ascii="Tahoma" w:hAnsi="Tahoma" w:cs="Tahoma"/>
      <w:sz w:val="16"/>
      <w:szCs w:val="16"/>
    </w:rPr>
  </w:style>
  <w:style w:type="character" w:styleId="Hyperlink">
    <w:name w:val="Hyperlink"/>
    <w:basedOn w:val="DefaultParagraphFont"/>
    <w:uiPriority w:val="99"/>
    <w:unhideWhenUsed/>
    <w:rsid w:val="002656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C39"/>
    <w:pPr>
      <w:ind w:left="720"/>
      <w:contextualSpacing/>
    </w:pPr>
  </w:style>
  <w:style w:type="paragraph" w:styleId="BalloonText">
    <w:name w:val="Balloon Text"/>
    <w:basedOn w:val="Normal"/>
    <w:link w:val="BalloonTextChar"/>
    <w:uiPriority w:val="99"/>
    <w:semiHidden/>
    <w:unhideWhenUsed/>
    <w:rsid w:val="00C65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696"/>
    <w:rPr>
      <w:rFonts w:ascii="Tahoma" w:hAnsi="Tahoma" w:cs="Tahoma"/>
      <w:sz w:val="16"/>
      <w:szCs w:val="16"/>
    </w:rPr>
  </w:style>
  <w:style w:type="character" w:styleId="Hyperlink">
    <w:name w:val="Hyperlink"/>
    <w:basedOn w:val="DefaultParagraphFont"/>
    <w:uiPriority w:val="99"/>
    <w:unhideWhenUsed/>
    <w:rsid w:val="002656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whitetown.com/xls2csv/expert/" TargetMode="Externa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mailto:support@agilaire.com" TargetMode="Externa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B75B0-5064-4FEF-8BC9-155ACCCB6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Drevik</dc:creator>
  <cp:lastModifiedBy>Steve Drevik</cp:lastModifiedBy>
  <cp:revision>14</cp:revision>
  <dcterms:created xsi:type="dcterms:W3CDTF">2018-04-06T16:08:00Z</dcterms:created>
  <dcterms:modified xsi:type="dcterms:W3CDTF">2018-04-11T18:46:00Z</dcterms:modified>
</cp:coreProperties>
</file>